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8B" w:rsidRPr="00BC528B" w:rsidRDefault="00BC528B" w:rsidP="00BC528B">
      <w:pPr>
        <w:spacing w:before="161" w:after="16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Постановление Правительства РФ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 изменениями и дополнениями)</w:t>
      </w:r>
    </w:p>
    <w:p w:rsidR="00BC528B" w:rsidRPr="00BC528B" w:rsidRDefault="00BC528B" w:rsidP="00BC52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5" w:anchor="text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 Правительства РФ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 изменениями и дополнениями)</w:t>
        </w:r>
      </w:hyperlink>
    </w:p>
    <w:p w:rsidR="00BC528B" w:rsidRPr="00BC528B" w:rsidRDefault="00BC528B" w:rsidP="00BC52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6" w:anchor="block_10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Правила ведения реестра контрактов, заключенных заказчиками</w:t>
        </w:r>
      </w:hyperlink>
    </w:p>
    <w:p w:rsidR="00BC528B" w:rsidRPr="00BC528B" w:rsidRDefault="00BC528B" w:rsidP="00BC52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7" w:anchor="block_20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Правила ведения реестра контрактов, содержащего сведения, составляющие государственную тайну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bookmarkStart w:id="0" w:name="text"/>
      <w:bookmarkEnd w:id="0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Постановление Правительства РФ от 28 ноября 2013 г. N 1084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С изменениями и дополнениями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от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31 июля, 25 декабря 2014 г., 9 июня 2015 г., 1 декабря 2016 г., 13 апреля 2017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соответствии с </w:t>
      </w:r>
      <w:hyperlink r:id="rId8" w:anchor="block_103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частями 6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9" w:anchor="block_103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7 статьи 103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 Утвердить прилагаемые: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0" w:anchor="block_10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Правила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ведения реестра контрактов, заключенных заказчиками;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1" w:anchor="block_20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Правила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ведения реестра контрактов, содержащего сведения, составляющие государственную тайну.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Установить, что: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Федеральным казначейством включаются с 1 по 31 января 2014 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услуг, сформированном в порядке, действовавшем до дня </w:t>
      </w:r>
      <w:hyperlink r:id="rId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вступления в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 муниципальных нужд";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реестры контрактов, содержащие сведения,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 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включают сведения, составляющие государственную тайну, сформированные в порядке, действовавшем до дня </w:t>
      </w:r>
      <w:hyperlink r:id="rId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вступления в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нужд", с соблюдением требований </w:t>
      </w:r>
      <w:hyperlink r:id="rId14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о защите государственной тайны;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5" w:anchor="block_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до ввода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 эксплуатацию единой информационной системы в сфере закупок размещение реестра контрактов, заключенных заказчиками,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заказчиков сертификатами ключей проверки </w:t>
      </w:r>
      <w:hyperlink r:id="rId16" w:anchor="block_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электронных подписей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7" w:anchor="block_100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в пункт 3 внесены изменения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8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3.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Министерству финансов Российской Федерации установить </w:t>
      </w:r>
      <w:hyperlink r:id="rId19" w:anchor="block_10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порядок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 формы направления заказчиками до 1 января 2015 г. информации и документов, предусмотренных </w:t>
      </w:r>
      <w:hyperlink r:id="rId20" w:anchor="block_10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заключенных заказчиками, и сведений, предусмотренных </w:t>
      </w:r>
      <w:hyperlink r:id="rId21" w:anchor="block_200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января 2015 г. присваивается реестровой записи в соответствии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с </w:t>
      </w:r>
      <w:hyperlink r:id="rId22" w:anchor="block_101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16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заключенных заказчиками, и </w:t>
      </w:r>
      <w:hyperlink r:id="rId23" w:anchor="block_201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содержащего сведения, составляющие государственную тайну.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 Признать утратившими силу: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Правительства Российской Федерации от 31 июля 2007 г. N 491 "Об утверждении Положения о ведении реестра государственных или муниципальных контрактов, в которые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включаются сведения, касающиеся размещения заказов и составляющие государственную тайну" (Собрание законодательства Российской Федерации, 2007, N 32, ст. 4149);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5" w:history="1">
        <w:proofErr w:type="gram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Российской Федерации от 29 декабря 2010 г. N 1191 "Об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(Собрание законодательства Российской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Федерации, 2011, N 4, ст. 604);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6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 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постановления Правительства Российской Федерации от 3 ноября 2011 г. N 881 "О порядке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 46, ст. 6505).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7" w:anchor="block_100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9 июня 2015 г. N 568 в пункт 5 внесены изменения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8" w:anchor="block_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 Настоящее постановление вступает в силу с 1 января 2014 г., за исключением положений, для которых установлены иные сроки вступления в силу.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9" w:anchor="block_1002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 "м"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30" w:anchor="block_1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 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31" w:anchor="block_1014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 "в" пункта 14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заключенных заказчиками, а также </w:t>
      </w:r>
      <w:hyperlink r:id="rId32" w:anchor="block_2003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 "л" пункта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Правил ведения реестра контрактов, содержащего сведения, составляющие государственную тайну, вступают в силу с 1 января 2017 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Абзац третий </w:t>
      </w:r>
      <w:hyperlink r:id="rId33" w:anchor="block_10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утратил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См. текст </w:t>
      </w:r>
      <w:hyperlink r:id="rId34" w:anchor="block_5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абзаца третьего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C528B" w:rsidRPr="00BC528B" w:rsidTr="00BC528B">
        <w:tc>
          <w:tcPr>
            <w:tcW w:w="3300" w:type="pct"/>
            <w:vAlign w:val="bottom"/>
            <w:hideMark/>
          </w:tcPr>
          <w:p w:rsidR="00BC528B" w:rsidRPr="00BC528B" w:rsidRDefault="00BC528B" w:rsidP="00B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Правительства</w:t>
            </w:r>
            <w:r w:rsidRPr="00BC52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C528B" w:rsidRPr="00BC528B" w:rsidRDefault="00BC528B" w:rsidP="00BC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 Медведев</w:t>
            </w:r>
          </w:p>
        </w:tc>
      </w:tr>
    </w:tbl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Москва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28 ноября 2013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N 1084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Правила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ведения реестра контрактов, заключенных заказчиками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(утв. </w:t>
      </w:r>
      <w:hyperlink r:id="rId3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28 ноября 2013 г. N 1084)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С изменениями и дополнениями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от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31 июля 2014 г., 9 июня 2015 г., 1 декабря 2016 г., 13 апреля 2017 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 Настоящие Правила устанавливают порядок ведения реестра контрактов, заключенных заказчиками (далее - реестр контрактов),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В реестр контрактов включаются следующие информация и документы, установленные </w:t>
      </w:r>
      <w:hyperlink r:id="rId36" w:anchor="block_103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частью 2 статьи 103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информация и документы):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наименование заказчика;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источник финансирования;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в) способ определения поставщика (подрядчика, исполнителя);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37" w:anchor="block_2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подпункт "г" изложен в новой редакции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38" w:anchor="block_1002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39" w:anchor="block_2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подпункт "</w:t>
      </w:r>
      <w:proofErr w:type="spellStart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д</w:t>
      </w:r>
      <w:proofErr w:type="spellEnd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" изложен в новой редакции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0" w:anchor="block_1002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 дата заключения и номер (при наличии) контракта;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1" w:anchor="block_101010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13 апреля 2017 г. N 443 в подпункт "е" внесены изменения, </w:t>
      </w:r>
      <w:hyperlink r:id="rId4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ноября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3" w:anchor="block_1002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 </w:t>
      </w:r>
      <w:hyperlink r:id="rId44" w:anchor="block_42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2 статьи 42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закона), срок исполнения контракта, наименование страны происхождения или информация о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производителе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товара в отношении исполненного контракта, а также информация об иных характеристиках объектов закупки;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5" w:anchor="block_101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2 дополнен подпунктом "е.1", </w:t>
      </w:r>
      <w:hyperlink r:id="rId46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вступающим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февраля 2017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е.1) если объектом закупки являются лекарственные препараты, в отношении каждого лекарственного препарата дополнительно указываются наименование лекарственного средства (международное непатентованное, или 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группировочное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 или химическое и торговое наименования), номер регистрационного удостоверения лекарственного препарата,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а также лекарственная форма, дозировка, количество лекарственных форм во вторичной (потребительской) упаковке;</w:t>
      </w:r>
      <w:proofErr w:type="gramEnd"/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7" w:anchor="block_2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в подпункт "ж" внесены изменения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8" w:anchor="block_1002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о-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, 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фотофондов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 аналогичных фондов;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49" w:anchor="block_101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 xml:space="preserve"> Правительства РФ от 1 декабря 2016 г. N 1285 пункт 2 дополнен </w:t>
      </w:r>
      <w:proofErr w:type="gramStart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подпунктом "ж</w:t>
      </w:r>
      <w:proofErr w:type="gramEnd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.1", </w:t>
      </w:r>
      <w:hyperlink r:id="rId50" w:anchor="block_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вступающим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апреля 2017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ж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.1) информация о гарантии качества товара, работы, услуги по контракту и сроке ее представления (при наличии);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 информация об изменении контракта с указанием условий контракта, которые были изменены;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51" w:anchor="block_101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подпункт "и" внесены изменения, </w:t>
      </w:r>
      <w:hyperlink r:id="rId5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53" w:anchor="block_10029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и) копия заключенного контракта, подписанная усиленной неквалифицированной </w:t>
      </w:r>
      <w:hyperlink r:id="rId54" w:anchor="block_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электронной подписью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заказчика, а также копия документа о согласовании контрольным органом в сфере закупок заключения контракта с единственным поставщиком (подрядчиком, исполнителем) в соответствии с </w:t>
      </w:r>
      <w:hyperlink r:id="rId55" w:anchor="block_9312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25 части 1 статьи 93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56" w:anchor="block_10101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13 апреля 2017 г. N 443 пункт 2 дополнен подпунктом "и.1", </w:t>
      </w:r>
      <w:hyperlink r:id="rId57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вступающим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ноября 2017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и.1) информация о договорах поставщиков (подрядчиков, исполнителей) с соисполнителями, субподрядчиками, являющимися субъектами малого предпринимательства, социально ориентированными некоммерческими организациями в случае заключения такими поставщиками (подрядчиками, исполнителями) контракта, включающего условия, предусмотренные </w:t>
      </w:r>
      <w:hyperlink r:id="rId58" w:anchor="block_306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частью 6 статьи 30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(наименование, фирменное наименование (при наличии), а также место нахождения соисполнителя (субподрядчика), идентификационный номер налогоплательщика, дата заключения и номер контракта (при наличии), предмет и цена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договора с соисполнителем (субподрядчиком);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59" w:anchor="block_1011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подпункт "к" внесены изменения, </w:t>
      </w:r>
      <w:hyperlink r:id="rId60" w:anchor="block_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апреля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61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контрактом, а также информация о наступлении гарантийного случая, предусмотренного контрактом, и исполнении обязательств по гарантии качества товара, работы, услуги;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л) информация о расторжении контракта с указанием оснований его расторжения;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Подпункт "м" </w:t>
      </w:r>
      <w:hyperlink r:id="rId62" w:anchor="block_5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вступает в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 1 января 2017 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м) идентификационный код закупки;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 документ о приемке (в случае принятия решения о приемке поставленного товара, выполненной работы, оказанной услуги);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63" w:anchor="block_2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в подпункт "о" внесены изменения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64" w:anchor="block_1002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о) решение врачебной комиссии, предусмотренное </w:t>
      </w:r>
      <w:hyperlink r:id="rId65" w:anchor="block_832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7 части 2 статьи 83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66" w:anchor="block_9312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28 части 1 статьи 93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с обеспечением предусмотренного </w:t>
      </w:r>
      <w:hyperlink r:id="rId67" w:anchor="block_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законодательством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в области персональных данных обезличивания персональных данных.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2.1. </w:t>
      </w:r>
      <w:hyperlink r:id="rId68" w:anchor="block_101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Утратил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 1 ноября 2017 г.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См. текст </w:t>
      </w:r>
      <w:hyperlink r:id="rId69" w:anchor="block_1000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 2.1</w:t>
        </w:r>
      </w:hyperlink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70" w:anchor="block_1010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13 апреля 2017 г. N 443 в пункт 3 внесены изменения, </w:t>
      </w:r>
      <w:hyperlink r:id="rId71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ноября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72" w:anchor="block_100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3. В реестр контрактов не включается информация о контрактах, заключенных в соответствии с </w:t>
      </w:r>
      <w:hyperlink r:id="rId73" w:anchor="block_93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74" w:anchor="block_931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75" w:anchor="block_9312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23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76" w:anchor="block_931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42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77" w:anchor="block_9314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44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78" w:anchor="block_9314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45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79" w:anchor="block_9314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46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(в части контрактов, заключаемых с физическими лицами) части 1 статьи 93 Федерального закона.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 Информация и документы, включенные в реестр контрактов, хранятся в порядке, определенном в соответствии с </w:t>
      </w:r>
      <w:hyperlink r:id="rId80" w:anchor="block_4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законодательством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об архивном деле.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81" w:anchor="block_100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пункт 5 внесены изменения, </w:t>
      </w:r>
      <w:hyperlink r:id="rId8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83" w:anchor="block_100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 Положения настоящих Правил распространяются на юридические лица, на которые при осуществлении ими закупок в соответствии с </w:t>
      </w:r>
      <w:hyperlink r:id="rId84" w:anchor="block_15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частью 4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распространяются положения Федерального закона, установленные для заказчиков.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 </w:t>
      </w:r>
      <w:hyperlink r:id="rId85" w:anchor="block_15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части 5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определены условия о представлении такими лицами информации и документов, подлежащих включению в реестр контрактов, положения настоящих Правил распространяются на указанные юридические лица.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Юридические лица, указанные в </w:t>
      </w:r>
      <w:hyperlink r:id="rId86" w:anchor="block_15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части 6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Росатом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" или Государственной корпорации по космической деятельности "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Роскосмос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" информацию и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документы, подлежащие включению в реестр контрактов в соответствии с настоящими Правилами, в пределах полномочий, переданных им в соответствии с </w:t>
      </w:r>
      <w:hyperlink r:id="rId8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Бюджетным кодексом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Федерации указанными органами или корпорациями на основании соглашений.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 Ведение реестра контрактов осуществляется Федеральным казначейством путем формирования или изменения реестровых записей, в которые включаются информация и документы, представляемые заказчиками, определенными </w:t>
      </w:r>
      <w:hyperlink r:id="rId88" w:anchor="block_30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7 статьи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в соответствии с настоящими Правилами.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7. Ведение реестра контрактов осуществляется в электронном виде.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8.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9. При ведении реестра контрактов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10. Предусмотренные настоящими Правилами формирование информации, а также обмен информацией и документами между заказчиком и Федеральным казначейством осуществляются в </w:t>
      </w:r>
      <w:hyperlink r:id="rId89" w:anchor="block_4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порядке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 установленном Министерством финансов Российской Федерации.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11.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 </w:t>
      </w:r>
      <w:hyperlink r:id="rId90" w:anchor="block_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электронной подписью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лица, имеющего право действовать от имени заказчика.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91" w:anchor="block_1010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13 апреля 2017 г. N 443 в пункт 12 внесены изменения, </w:t>
      </w:r>
      <w:hyperlink r:id="rId9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ноября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93" w:anchor="block_10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12. В целях ведения реестра контрактов заказчик формирует и направляет в Федеральное казначейство в течение 3 рабочих дней со дня: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Абзац второй пункта 12 вступает в силу </w:t>
      </w:r>
      <w:hyperlink r:id="rId94" w:anchor="block_4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 1 февраля 2017 г.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 части формирования и направления заказчиком в Федеральное казначейство информации и документов, указанных в </w:t>
      </w:r>
      <w:hyperlink r:id="rId95" w:anchor="block_10026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подпункте "е.1"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 </w:t>
      </w:r>
      <w:hyperlink r:id="rId96" w:anchor="block_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 1 апреля 2017 г.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- в части формирования и направления заказчиком в Федеральное казначейство информации и документов, указанных в </w:t>
      </w:r>
      <w:hyperlink r:id="rId97" w:anchor="block_10027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"ж.1"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98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"к"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Правил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заключения контракта - информацию и документы, указанные в </w:t>
      </w:r>
      <w:hyperlink r:id="rId99" w:anchor="block_100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"а" - "ж.1"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00" w:anchor="block_10029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"и"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01" w:anchor="block_1002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"м"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02" w:anchor="block_1002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"о"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Абзац третий пункта 12 </w:t>
      </w:r>
      <w:hyperlink r:id="rId103" w:anchor="block_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вступает в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 1 апреля 2017 г. в части формирования и направления заказчиком в Федеральное казначейство информации и документов, указанных в </w:t>
      </w:r>
      <w:hyperlink r:id="rId104" w:anchor="block_100271" w:history="1">
        <w:proofErr w:type="gram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"ж</w:t>
        </w:r>
        <w:proofErr w:type="gram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.1"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05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"к"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изменения контракта (исполнения (расторжения) контракта,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 </w:t>
      </w:r>
      <w:hyperlink r:id="rId106" w:anchor="block_1002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</w:t>
        </w:r>
        <w:proofErr w:type="spell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</w:t>
        </w:r>
        <w:proofErr w:type="spell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07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"к"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08" w:anchor="block_1002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"л"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09" w:anchor="block_1002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  <w:proofErr w:type="spell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н</w:t>
        </w:r>
        <w:proofErr w:type="spell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предоставления заказчику поставщиком (подрядчиком, исполнителем) в соответствии с условиями контракта - информацию, указанную в </w:t>
      </w:r>
      <w:hyperlink r:id="rId110" w:anchor="block_10029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подпункте "и.1"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11" w:anchor="block_1001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пункт 13 внесены изменения, </w:t>
      </w:r>
      <w:hyperlink r:id="rId11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13" w:anchor="block_1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13.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соответствия идентификационного кода закупки и объема финансового обеспечения для осуществления данной закупки (цены контракта или ее значения), указанных в них, идентификационному коду закупки и условиям о цене контракта, указанным в контракте, или наличия подтверждения органами управления государственными внебюджетными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фондами, финансовыми органами субъектов Российской Федерации или муниципальных образований (далее - финансовый орган) о таком соответствии в отношении информации и документов, направляемых соответствующими заказчиками, если полномочия по контролю на основании </w:t>
      </w:r>
      <w:hyperlink r:id="rId114" w:anchor="block_99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части 7 статьи 99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Федерального закона не переданы органами управления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государственными внебюджетными фондами, финансовым органом Федеральному казначейству. Подтверждение осуществляется органами управления государственными внебюджетными фондами, финансовым органом в порядке, установленном Министерством финансов Российской Федерации.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14. Федеральное казначейство в течение 3 рабочих дней со дня получения от заказчика информации и документов проверяет, в том числе с использованием программно-аппаратных средств: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наличие информации и документов, предусмотренных </w:t>
      </w:r>
      <w:hyperlink r:id="rId115" w:anchor="block_10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осуществление формирования и направления информации и документов в соответствии с </w:t>
      </w:r>
      <w:hyperlink r:id="rId116" w:anchor="block_1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17" w:anchor="block_10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11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18" w:anchor="block_1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19" w:anchor="block_2" w:history="1">
        <w:proofErr w:type="gram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13 апреля 2017 г. N 443 действие подпункта "в" приостановлено до 1 января 2018 г. в части проверки непротиворечивости содержащихся в представленных информации и документах данных о сроке исполнения контракта, количестве товара, объеме работ и услуг (при наличии) и единицах измерения, а также непротиворечивости содержащихся в представленных информации и документах данных об исполнении и расторжении контракта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друг другу, а также условиям принимаемого (принятого) к учету бюджетного обязательства получателя средств соответствующего бюджета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20" w:anchor="block_1001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подпункт "в" изложен в новой редакции, </w:t>
      </w:r>
      <w:hyperlink r:id="rId121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22" w:anchor="block_1014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Подпункт "в" (в редакции </w:t>
      </w:r>
      <w:hyperlink r:id="rId123" w:anchor="block_1001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постановления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 декабря 2016 г. N 1285) вступает в силу </w:t>
      </w:r>
      <w:hyperlink r:id="rId124" w:anchor="block_4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 1 февраля 2017 г.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 части проверки Федеральным казначейством соответствия информации, указанной в </w:t>
      </w:r>
      <w:hyperlink r:id="rId125" w:anchor="block_10026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подпункте "е.1"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 </w:t>
      </w:r>
      <w:hyperlink r:id="rId126" w:anchor="block_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 1 апреля 2017 г.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- в части проверки Федеральным казначейством соответствия информации, указанной в </w:t>
      </w:r>
      <w:hyperlink r:id="rId127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подпункте "к"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в) соответствие информации, указанной в </w:t>
      </w:r>
      <w:hyperlink r:id="rId128" w:anchor="block_100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"а"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29" w:anchor="block_10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"б"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30" w:anchor="block_1002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  <w:proofErr w:type="spell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д</w:t>
        </w:r>
        <w:proofErr w:type="spell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31" w:anchor="block_1002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"е"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(в части наименования объекта закупки, срока исполнения контракта, количества товара, объема работ и услуг (при наличии) и единицы измерения), </w:t>
      </w:r>
      <w:hyperlink r:id="rId132" w:anchor="block_10026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"е.1"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33" w:anchor="block_1002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"ж"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соответствующего иностранного государства аналога идентификационного номера налогоплательщика поставщика (подрядчика, исполнителя), </w:t>
      </w:r>
      <w:hyperlink r:id="rId134" w:anchor="block_1002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  <w:proofErr w:type="spell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</w:t>
        </w:r>
        <w:proofErr w:type="spell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35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"к"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36" w:anchor="block_1002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"л" пункта 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условиям контракта (изменениям, внесенным в контракт), а в части объекта закупки, указанного в подпункте "е" пункта 2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нужд, или наличие подтверждения таких соответствий, осуществленного в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порядке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, установленном Министерством финансов Российской Федерации.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 этом Федеральным казначейством и органами управления государственными внебюджетными фондами, финансовым органом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соответствующего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15. При положительном результате проверки, предусмотренной </w:t>
      </w:r>
      <w:hyperlink r:id="rId137" w:anchor="block_1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38" w:anchor="block_10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14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Федеральное казначейство формирует реестровую запись, в которую включаются информация и документы, подлежащие включению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16. Реестровой записи присваивается уникальный номер, который содержит в том числе: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год формирования реестровой записи;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идентификационный код заказчика;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17. В случае представления заказчиком информации и документов об изменении,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порядке, указанном в </w:t>
      </w:r>
      <w:hyperlink r:id="rId139" w:anchor="block_101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16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18.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положениями, предусмотренными </w:t>
      </w:r>
      <w:hyperlink r:id="rId140" w:anchor="block_1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22-24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19. Федеральное казначейство в течение 1 рабочего дня, следующего за днем включения (обновления) реестровой записи в реестр контрактов, извещает в электронном виде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 </w:t>
      </w:r>
      <w:hyperlink r:id="rId141" w:anchor="block_1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20. При отрицательном результате проверки, предусмотренной </w:t>
      </w:r>
      <w:hyperlink r:id="rId142" w:anchor="block_1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43" w:anchor="block_10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14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представленные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21. Заказчик в течение 1 рабочего дня со дня получения протокола, указанного в </w:t>
      </w:r>
      <w:hyperlink r:id="rId144" w:anchor="block_102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20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 </w:t>
      </w:r>
      <w:hyperlink r:id="rId145" w:anchor="block_1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10-12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 направляет доработанные информацию и документы в Федеральное казначейство.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22.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23. </w:t>
      </w:r>
      <w:hyperlink r:id="rId146" w:anchor="block_1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Утратил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См. текст </w:t>
      </w:r>
      <w:hyperlink r:id="rId147" w:anchor="block_102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 23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24. Реестровые записи, размещаемые в реестре контрактов, подписываются усиленной неквалифицированной </w:t>
      </w:r>
      <w:hyperlink r:id="rId148" w:anchor="block_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электронной подписью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казначейства.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Правила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ведения реестра контрактов, содержащего сведения, составляющие государственную тайну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  <w:t>(утв. </w:t>
      </w:r>
      <w:hyperlink r:id="rId149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28 ноября 2013 г. N 1084)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С изменениями и дополнениями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от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31 июля, 25 декабря 2014 г., 9 июня 2015 г., 1 декабря 2016 г., 13 апреля 2017 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для включения в такой реестр контрактов.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50" w:anchor="block_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13 апреля 2017 г. N 443 действие пункта 2 приостановлено до 1 января 2018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 1 января 2018 г. ведение реестра контрактов, содержащего сведения, составляющие государственную тайну, в части контрактов, заключенных для обеспечения федеральных нужд, нужд субъектов РФ и муниципальных нужд, </w:t>
      </w:r>
      <w:hyperlink r:id="rId151" w:anchor="block_3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осуществляется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соответственно Федеральным казначейством, уполномоченным органом исполнительной власти субъекта РФ и уполномоченным органом местного самоуправления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2" w:anchor="block_100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2 изложен в новой редакции, </w:t>
      </w:r>
      <w:hyperlink r:id="rId153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4" w:anchor="block_20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Ведение реестра контрактов осуществляется Федеральным казначейством (далее - уполномоченный орган).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3. В реестр контрактов включаются следующие сведения: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наименование заказчика;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источник финансирования;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в) способ определения поставщика (подрядчика, исполнителя);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5" w:anchor="block_3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подпункт "г" изложен в новой редакции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6" w:anchor="block_2003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lastRenderedPageBreak/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7" w:anchor="block_3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подпункт "</w:t>
      </w:r>
      <w:proofErr w:type="spellStart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д</w:t>
      </w:r>
      <w:proofErr w:type="spellEnd"/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" изложен в новой редакции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8" w:anchor="block_2003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 дата заключения и номер (при наличии) контракта;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59" w:anchor="block_10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подпункт "е" изложен в новой редакции, </w:t>
      </w:r>
      <w:hyperlink r:id="rId160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61" w:anchor="block_2003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 </w:t>
      </w:r>
      <w:hyperlink r:id="rId162" w:anchor="block_42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2 статьи 42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"О контрактной системе в сфере закупок товаров, работ, услуг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для обеспечения государственных и муниципальных нужд" (далее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-Ф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едеральный закон), срок исполнения контракта, наименование страны происхождения или информация о производителе товара в отношении исполненного контракта;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63" w:anchor="block_3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31 июля 2014 г. N 752 в подпункт "ж" внесены изменения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64" w:anchor="block_2003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подпункта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о-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, 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фотофондов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 аналогичных фондов;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) сведения об изменении контракта с указанием условий контракта, которые были изменены;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и) сведения об исполнении контракта, в том числе сведения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к) сведения о расторжении контракта с указанием оснований его расторжения;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Подпункт "л" </w:t>
      </w:r>
      <w:hyperlink r:id="rId165" w:anchor="block_5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вступает в силу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 1 января 2017 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л) идентификационный код закупки.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66" w:anchor="block_1002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4 изложен в новой редакции, </w:t>
      </w:r>
      <w:hyperlink r:id="rId167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68" w:anchor="block_200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4. В реестр контрактов не включаются сведения о контрактах, заключенных в соответствии с </w:t>
      </w:r>
      <w:hyperlink r:id="rId169" w:anchor="block_931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4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70" w:anchor="block_931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71" w:anchor="block_9312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23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72" w:anchor="block_9314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42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hyperlink r:id="rId173" w:anchor="block_9314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44 - 46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(в части контрактов, заключаемых с физическими лицами) части 1 статьи 93 Федерального закона.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5. Сведения, включенные в реестр контрактов, хранятся в порядке, определенном в соответствии с законодательством Российской Федерации </w:t>
      </w:r>
      <w:hyperlink r:id="rId174" w:anchor="block_40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об архивном деле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175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о защите государственной тайны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76" w:anchor="block_1002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пункт 6 внесены изменения, </w:t>
      </w:r>
      <w:hyperlink r:id="rId177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78" w:anchor="block_200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 Положения настоящих Правил распространяются на юридические лица, на которые при осуществлении ими закупок в соответствии с </w:t>
      </w:r>
      <w:hyperlink r:id="rId179" w:anchor="block_15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частью 4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 распространяются положения Федерального закона, установленные для заказчиков.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 </w:t>
      </w:r>
      <w:hyperlink r:id="rId180" w:anchor="block_15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части 5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Федерального закона, определены условия о представлении такими лицами сведений,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подлежащих включению в реестр контрактов, положения настоящих Правил распространяются на указанные юридические лица.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Юридические лица, указанные в </w:t>
      </w:r>
      <w:hyperlink r:id="rId181" w:anchor="block_156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части 6 статьи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Росатом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" или Государственной корпорации по космической деятельности "</w:t>
      </w:r>
      <w:proofErr w:type="spell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Роскосмос</w:t>
      </w:r>
      <w:proofErr w:type="spell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" сведения, подлежащие включению в реестр контрактов в соответствии с настоящими Правилами, в пределах полномочий, переданных им в соответствии с </w:t>
      </w:r>
      <w:hyperlink r:id="rId18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Бюджетным кодексом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указанными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органами или корпорациями на основании соглашений.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83" w:anchor="block_1002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пункт 7 внесены изменения, </w:t>
      </w:r>
      <w:hyperlink r:id="rId184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85" w:anchor="block_200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7. Ведение реестра контрактов осуществляется путем формирования или изменения реестровых записей, в которые включаются сведения, представляемые заказчиками, определенными </w:t>
      </w:r>
      <w:hyperlink r:id="rId186" w:anchor="block_30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7 статьи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Федерального закона, в соответствии с настоящими Правилами.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Последовательная совокупность реестровых записей образует реестр контрактов.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87" w:anchor="block_10026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8 изложен в новой редакции, </w:t>
      </w:r>
      <w:hyperlink r:id="rId188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89" w:anchor="block_200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9.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90" w:anchor="block_10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13 апреля 2017 г. N 443 пункт 10 изложен в новой редакции, </w:t>
      </w:r>
      <w:hyperlink r:id="rId191" w:anchor="block_4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2018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92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будущей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193" w:anchor="block_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13 апреля 2017 г. N 443 действие пункта 10 приостановлено до 1 января 2018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 1 января 2018 г. формирование и направление заказчиком сведений, подлежащих включению в реестр контрактов, и направление уполномоченным органом заказчику сведений и протоколов в соответствии с настоящими Правилами, </w:t>
      </w:r>
      <w:hyperlink r:id="rId194" w:anchor="block_3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осуществляются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в порядке, установленном уполномоченными органами в соответствии с требованиями законодательства РФ о защите государственной тайны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95" w:anchor="block_10027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10 изложен в новой редакции, </w:t>
      </w:r>
      <w:hyperlink r:id="rId196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97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10.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Формирование и направление заказчиком сведений, подлежащих включению в реестр контрактов, формирование и направление запросов о представлении сведений из реестра контрактов в соответствии с </w:t>
      </w:r>
      <w:hyperlink r:id="rId198" w:anchor="block_2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22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формам, которые устанавливаются Министерством финансов Российской Федерации.</w:t>
      </w:r>
      <w:proofErr w:type="gramEnd"/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199" w:anchor="block_1002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в пункт 11 внесены изменения, </w:t>
      </w:r>
      <w:hyperlink r:id="rId200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вступающие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01" w:anchor="block_20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11.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Сведения, подлежащие включению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в соответствии с </w:t>
      </w:r>
      <w:hyperlink r:id="rId202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законодательством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Российской Федерации о защите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государственной тайны и в порядке, установленном в соответствии с </w:t>
      </w:r>
      <w:hyperlink r:id="rId203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и подписываются лицом, имеющим право действовать от имени заказчика.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носителях.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12. В целях ведения реестра контрактов заказчик формирует и направляет в уполномоченный орган: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течение 3 рабочих дней со дня заключения контракта - сведения, указанные в </w:t>
      </w:r>
      <w:hyperlink r:id="rId204" w:anchor="block_2003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"а" - "ж"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205" w:anchor="block_2003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"л" пункта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течение 3 рабочих дней со дня изменения контракта, исполнения контракта, расторжения контракта - сведения, указанные соответственно в </w:t>
      </w:r>
      <w:hyperlink r:id="rId206" w:anchor="block_2003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подпунктах "</w:t>
        </w:r>
        <w:proofErr w:type="spellStart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</w:t>
        </w:r>
        <w:proofErr w:type="spellEnd"/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" - "к" пункта 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а) наличие сведений, предусмотренных </w:t>
      </w:r>
      <w:hyperlink r:id="rId207" w:anchor="block_201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б) осуществление формирования и направления сведений в соответствии с </w:t>
      </w:r>
      <w:hyperlink r:id="rId208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и </w:t>
      </w:r>
      <w:hyperlink r:id="rId209" w:anchor="block_201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11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Правил;</w:t>
      </w:r>
      <w:proofErr w:type="gramEnd"/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в) представленные сведения на непротиворечивость содержащихся в них данных друг другу, а также условиям принимаемого (принятого) к учету бюджетного обязательства получателей средств федерального бюджета,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14. При положительном результате проверки, предусмотренной </w:t>
      </w:r>
      <w:hyperlink r:id="rId210" w:anchor="block_2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уполномоченный орган формирует реестровую запись, в которую включаются сведения, подлежащие включению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15. Реестровой записи присваивается уникальный номер, который содержит в том числе: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год формирования реестровой записи;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идентификационный код заказчика;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порядковый номер, присваиваемый каждому сведению в реестровой записи последовательно в соответствии со сквозной нумерацией в пределах реестровой записи.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 </w:t>
      </w:r>
      <w:hyperlink r:id="rId211" w:anchor="block_2015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15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12" w:anchor="block_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13 апреля 2017 г. N 443 действие пункта 18 приостановлено до 1 января 2018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 1 января 2018 г. уполномоченный орган в течение 3 рабочих дней со дня включения (обновления) реестровой записи в реестр контрактов </w:t>
      </w:r>
      <w:hyperlink r:id="rId213" w:anchor="block_3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извещает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заказчика о включении (обновлении) реестровой записи в реестр контрактов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РФ о защите государственной тайны</w:t>
      </w:r>
      <w:proofErr w:type="gramEnd"/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14" w:anchor="block_10029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18 изложен в новой редакции, </w:t>
      </w:r>
      <w:hyperlink r:id="rId215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16" w:anchor="block_2018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предусмотренном </w:t>
      </w:r>
      <w:hyperlink r:id="rId217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10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19. При отрицательном результате проверки, предусмотренной </w:t>
      </w:r>
      <w:hyperlink r:id="rId218" w:anchor="block_201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пунктом 13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настоящих Правил, представленные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направляет заказчику протокол, содержащий перечень выявленных несоответствий и (или) основания, по которым сведения не включаются в реестр контрактов;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возвращает заказчику поступившие сведения, подлежащие включению в реестр контрактов.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20. Заказчик в течение 1 рабочего дня со дня получения протокола, указанного в </w:t>
      </w:r>
      <w:hyperlink r:id="rId219" w:anchor="block_2019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пункте 19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настоящих Правил, устраняет выявленные несоответствия, при необходимости формирует </w:t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недостающие сведения, подлежащие включению в реестр контрактов, и в соответствии с </w:t>
      </w:r>
      <w:hyperlink r:id="rId220" w:anchor="block_20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пунктами 10-12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 настоящих Правил направляет доработанные сведения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уполномоченный</w:t>
      </w:r>
      <w:proofErr w:type="gramEnd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орган.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21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21 изложен в новой редакции, </w:t>
      </w:r>
      <w:hyperlink r:id="rId222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23" w:anchor="block_2021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21.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 </w:t>
      </w:r>
      <w:hyperlink r:id="rId224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о защите государственной тайны в установленном Федеральной антимонопольной службой порядке, согласованном с уполномоченным органом.</w:t>
      </w:r>
    </w:p>
    <w:p w:rsidR="00BC528B" w:rsidRPr="00BC528B" w:rsidRDefault="00BC528B" w:rsidP="00BC528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ГАРАНТ: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hyperlink r:id="rId225" w:anchor="block_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Правительства РФ от 13 апреля 2017 г. N 443 действие пункта 2 приостановлено до 1 января 2018 г.</w:t>
      </w:r>
    </w:p>
    <w:p w:rsidR="00BC528B" w:rsidRPr="00BC528B" w:rsidRDefault="00BC528B" w:rsidP="00BC5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До 1 января 2018 г. уполномоченный орган в течение 3 рабочих дней со дня включения (обновления) реестровой записи в реестр контрактов </w:t>
      </w:r>
      <w:hyperlink r:id="rId226" w:anchor="block_3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извещает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заказчика о включении (обновлении) реестровой записи в реестр контрактов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РФ о защите государственной тайны</w:t>
      </w:r>
      <w:proofErr w:type="gramEnd"/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outlineLvl w:val="3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Информация об изменениях:</w:t>
      </w:r>
    </w:p>
    <w:p w:rsidR="00BC528B" w:rsidRPr="00BC528B" w:rsidRDefault="00BC528B" w:rsidP="00BC528B">
      <w:pPr>
        <w:shd w:val="clear" w:color="auto" w:fill="F0E9D3"/>
        <w:spacing w:after="0"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27" w:anchor="block_100210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Постановлением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Правительства РФ от 1 декабря 2016 г. N 1285 пункт 22 изложен в новой редакции, </w:t>
      </w:r>
      <w:hyperlink r:id="rId228" w:anchor="block_4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вступающей в силу</w:t>
        </w:r>
      </w:hyperlink>
      <w:r w:rsidRPr="00BC528B"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  <w:t> с 1 января 2017 г.</w:t>
      </w:r>
    </w:p>
    <w:p w:rsidR="00BC528B" w:rsidRPr="00BC528B" w:rsidRDefault="00BC528B" w:rsidP="00BC528B">
      <w:pPr>
        <w:shd w:val="clear" w:color="auto" w:fill="F0E9D3"/>
        <w:spacing w:line="264" w:lineRule="atLeast"/>
        <w:jc w:val="both"/>
        <w:rPr>
          <w:rFonts w:ascii="Arial" w:eastAsia="Times New Roman" w:hAnsi="Arial" w:cs="Arial"/>
          <w:b/>
          <w:bCs/>
          <w:color w:val="464C55"/>
          <w:sz w:val="19"/>
          <w:szCs w:val="19"/>
          <w:lang w:eastAsia="ru-RU"/>
        </w:rPr>
      </w:pPr>
      <w:hyperlink r:id="rId229" w:anchor="block_2022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См. текст пункта в предыдущей редакции</w:t>
        </w:r>
      </w:hyperlink>
    </w:p>
    <w:p w:rsidR="00BC528B" w:rsidRPr="00BC528B" w:rsidRDefault="00BC528B" w:rsidP="00BC528B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22. </w:t>
      </w:r>
      <w:proofErr w:type="gramStart"/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Уполномоченный орган по запросу заказчика представляет на бумажном носителе с соблюдением требований </w:t>
      </w:r>
      <w:hyperlink r:id="rId230" w:anchor="block_3" w:history="1">
        <w:r w:rsidRPr="00BC528B">
          <w:rPr>
            <w:rFonts w:ascii="Arial" w:eastAsia="Times New Roman" w:hAnsi="Arial" w:cs="Arial"/>
            <w:b/>
            <w:bCs/>
            <w:color w:val="3272C0"/>
            <w:sz w:val="19"/>
            <w:szCs w:val="19"/>
            <w:u w:val="single"/>
            <w:lang w:eastAsia="ru-RU"/>
          </w:rPr>
          <w:t>законодательства</w:t>
        </w:r>
      </w:hyperlink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</w:t>
      </w:r>
      <w:proofErr w:type="gramEnd"/>
    </w:p>
    <w:p w:rsidR="00485F07" w:rsidRPr="00BC528B" w:rsidRDefault="00BC528B" w:rsidP="00BC528B">
      <w:pPr>
        <w:jc w:val="both"/>
        <w:rPr>
          <w:sz w:val="19"/>
          <w:szCs w:val="19"/>
        </w:rPr>
      </w:pP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BC528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</w:p>
    <w:sectPr w:rsidR="00485F07" w:rsidRPr="00BC528B" w:rsidSect="0048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0AE7"/>
    <w:multiLevelType w:val="multilevel"/>
    <w:tmpl w:val="CA1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8B"/>
    <w:rsid w:val="00485F07"/>
    <w:rsid w:val="00941E7B"/>
    <w:rsid w:val="00AB2BDD"/>
    <w:rsid w:val="00BC528B"/>
    <w:rsid w:val="00B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7"/>
  </w:style>
  <w:style w:type="paragraph" w:styleId="1">
    <w:name w:val="heading 1"/>
    <w:basedOn w:val="a"/>
    <w:link w:val="10"/>
    <w:uiPriority w:val="9"/>
    <w:qFormat/>
    <w:rsid w:val="00BC5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5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5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28B"/>
    <w:rPr>
      <w:color w:val="800080"/>
      <w:u w:val="single"/>
    </w:rPr>
  </w:style>
  <w:style w:type="paragraph" w:customStyle="1" w:styleId="s3">
    <w:name w:val="s_3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B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6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8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9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80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7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03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5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3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0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6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7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3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0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649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71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520982/" TargetMode="External"/><Relationship Id="rId21" Type="http://schemas.openxmlformats.org/officeDocument/2006/relationships/hyperlink" Target="http://base.garant.ru/70520982/" TargetMode="External"/><Relationship Id="rId42" Type="http://schemas.openxmlformats.org/officeDocument/2006/relationships/hyperlink" Target="http://base.garant.ru/71655546/" TargetMode="External"/><Relationship Id="rId63" Type="http://schemas.openxmlformats.org/officeDocument/2006/relationships/hyperlink" Target="http://base.garant.ru/70710078/" TargetMode="External"/><Relationship Id="rId84" Type="http://schemas.openxmlformats.org/officeDocument/2006/relationships/hyperlink" Target="http://base.garant.ru/70353464/1/" TargetMode="External"/><Relationship Id="rId138" Type="http://schemas.openxmlformats.org/officeDocument/2006/relationships/hyperlink" Target="http://base.garant.ru/70520982/" TargetMode="External"/><Relationship Id="rId159" Type="http://schemas.openxmlformats.org/officeDocument/2006/relationships/hyperlink" Target="http://base.garant.ru/71554422/" TargetMode="External"/><Relationship Id="rId170" Type="http://schemas.openxmlformats.org/officeDocument/2006/relationships/hyperlink" Target="http://base.garant.ru/70353464/3/" TargetMode="External"/><Relationship Id="rId191" Type="http://schemas.openxmlformats.org/officeDocument/2006/relationships/hyperlink" Target="http://base.garant.ru/71655546/" TargetMode="External"/><Relationship Id="rId205" Type="http://schemas.openxmlformats.org/officeDocument/2006/relationships/hyperlink" Target="http://base.garant.ru/70520982/" TargetMode="External"/><Relationship Id="rId226" Type="http://schemas.openxmlformats.org/officeDocument/2006/relationships/hyperlink" Target="http://base.garant.ru/71655546/" TargetMode="External"/><Relationship Id="rId107" Type="http://schemas.openxmlformats.org/officeDocument/2006/relationships/hyperlink" Target="http://base.garant.ru/70520982/" TargetMode="External"/><Relationship Id="rId11" Type="http://schemas.openxmlformats.org/officeDocument/2006/relationships/hyperlink" Target="http://base.garant.ru/70520982/" TargetMode="External"/><Relationship Id="rId32" Type="http://schemas.openxmlformats.org/officeDocument/2006/relationships/hyperlink" Target="http://base.garant.ru/70520982/" TargetMode="External"/><Relationship Id="rId53" Type="http://schemas.openxmlformats.org/officeDocument/2006/relationships/hyperlink" Target="http://base.garant.ru/57457657/" TargetMode="External"/><Relationship Id="rId74" Type="http://schemas.openxmlformats.org/officeDocument/2006/relationships/hyperlink" Target="http://base.garant.ru/70353464/3/" TargetMode="External"/><Relationship Id="rId128" Type="http://schemas.openxmlformats.org/officeDocument/2006/relationships/hyperlink" Target="http://base.garant.ru/70520982/" TargetMode="External"/><Relationship Id="rId149" Type="http://schemas.openxmlformats.org/officeDocument/2006/relationships/hyperlink" Target="http://base.garant.ru/70520982/" TargetMode="External"/><Relationship Id="rId5" Type="http://schemas.openxmlformats.org/officeDocument/2006/relationships/hyperlink" Target="http://base.garant.ru/70520982/" TargetMode="External"/><Relationship Id="rId95" Type="http://schemas.openxmlformats.org/officeDocument/2006/relationships/hyperlink" Target="http://base.garant.ru/70520982/" TargetMode="External"/><Relationship Id="rId160" Type="http://schemas.openxmlformats.org/officeDocument/2006/relationships/hyperlink" Target="http://base.garant.ru/71554422/" TargetMode="External"/><Relationship Id="rId181" Type="http://schemas.openxmlformats.org/officeDocument/2006/relationships/hyperlink" Target="http://base.garant.ru/70353464/1/" TargetMode="External"/><Relationship Id="rId216" Type="http://schemas.openxmlformats.org/officeDocument/2006/relationships/hyperlink" Target="http://base.garant.ru/57457657/" TargetMode="External"/><Relationship Id="rId22" Type="http://schemas.openxmlformats.org/officeDocument/2006/relationships/hyperlink" Target="http://base.garant.ru/70520982/" TargetMode="External"/><Relationship Id="rId27" Type="http://schemas.openxmlformats.org/officeDocument/2006/relationships/hyperlink" Target="http://base.garant.ru/71077768/" TargetMode="External"/><Relationship Id="rId43" Type="http://schemas.openxmlformats.org/officeDocument/2006/relationships/hyperlink" Target="http://base.garant.ru/57424506/" TargetMode="External"/><Relationship Id="rId48" Type="http://schemas.openxmlformats.org/officeDocument/2006/relationships/hyperlink" Target="http://base.garant.ru/57747972/" TargetMode="External"/><Relationship Id="rId64" Type="http://schemas.openxmlformats.org/officeDocument/2006/relationships/hyperlink" Target="http://base.garant.ru/57747972/" TargetMode="External"/><Relationship Id="rId69" Type="http://schemas.openxmlformats.org/officeDocument/2006/relationships/hyperlink" Target="http://base.garant.ru/57424506/" TargetMode="External"/><Relationship Id="rId113" Type="http://schemas.openxmlformats.org/officeDocument/2006/relationships/hyperlink" Target="http://base.garant.ru/57457657/" TargetMode="External"/><Relationship Id="rId118" Type="http://schemas.openxmlformats.org/officeDocument/2006/relationships/hyperlink" Target="http://base.garant.ru/70520982/" TargetMode="External"/><Relationship Id="rId134" Type="http://schemas.openxmlformats.org/officeDocument/2006/relationships/hyperlink" Target="http://base.garant.ru/70520982/" TargetMode="External"/><Relationship Id="rId139" Type="http://schemas.openxmlformats.org/officeDocument/2006/relationships/hyperlink" Target="http://base.garant.ru/70520982/" TargetMode="External"/><Relationship Id="rId80" Type="http://schemas.openxmlformats.org/officeDocument/2006/relationships/hyperlink" Target="http://base.garant.ru/12137300/4/" TargetMode="External"/><Relationship Id="rId85" Type="http://schemas.openxmlformats.org/officeDocument/2006/relationships/hyperlink" Target="http://base.garant.ru/70353464/1/" TargetMode="External"/><Relationship Id="rId150" Type="http://schemas.openxmlformats.org/officeDocument/2006/relationships/hyperlink" Target="http://base.garant.ru/71655546/" TargetMode="External"/><Relationship Id="rId155" Type="http://schemas.openxmlformats.org/officeDocument/2006/relationships/hyperlink" Target="http://base.garant.ru/70710078/" TargetMode="External"/><Relationship Id="rId171" Type="http://schemas.openxmlformats.org/officeDocument/2006/relationships/hyperlink" Target="http://base.garant.ru/70353464/3/" TargetMode="External"/><Relationship Id="rId176" Type="http://schemas.openxmlformats.org/officeDocument/2006/relationships/hyperlink" Target="http://base.garant.ru/71554422/" TargetMode="External"/><Relationship Id="rId192" Type="http://schemas.openxmlformats.org/officeDocument/2006/relationships/hyperlink" Target="http://base.garant.ru/57424507/" TargetMode="External"/><Relationship Id="rId197" Type="http://schemas.openxmlformats.org/officeDocument/2006/relationships/hyperlink" Target="http://base.garant.ru/57457657/" TargetMode="External"/><Relationship Id="rId206" Type="http://schemas.openxmlformats.org/officeDocument/2006/relationships/hyperlink" Target="http://base.garant.ru/70520982/" TargetMode="External"/><Relationship Id="rId227" Type="http://schemas.openxmlformats.org/officeDocument/2006/relationships/hyperlink" Target="http://base.garant.ru/71554422/" TargetMode="External"/><Relationship Id="rId201" Type="http://schemas.openxmlformats.org/officeDocument/2006/relationships/hyperlink" Target="http://base.garant.ru/57457657/" TargetMode="External"/><Relationship Id="rId222" Type="http://schemas.openxmlformats.org/officeDocument/2006/relationships/hyperlink" Target="http://base.garant.ru/71554422/" TargetMode="External"/><Relationship Id="rId12" Type="http://schemas.openxmlformats.org/officeDocument/2006/relationships/hyperlink" Target="http://base.garant.ru/70353465/" TargetMode="External"/><Relationship Id="rId17" Type="http://schemas.openxmlformats.org/officeDocument/2006/relationships/hyperlink" Target="http://base.garant.ru/70710078/" TargetMode="External"/><Relationship Id="rId33" Type="http://schemas.openxmlformats.org/officeDocument/2006/relationships/hyperlink" Target="http://base.garant.ru/71077768/" TargetMode="External"/><Relationship Id="rId38" Type="http://schemas.openxmlformats.org/officeDocument/2006/relationships/hyperlink" Target="http://base.garant.ru/57747972/" TargetMode="External"/><Relationship Id="rId59" Type="http://schemas.openxmlformats.org/officeDocument/2006/relationships/hyperlink" Target="http://base.garant.ru/71554422/" TargetMode="External"/><Relationship Id="rId103" Type="http://schemas.openxmlformats.org/officeDocument/2006/relationships/hyperlink" Target="http://base.garant.ru/71554422/" TargetMode="External"/><Relationship Id="rId108" Type="http://schemas.openxmlformats.org/officeDocument/2006/relationships/hyperlink" Target="http://base.garant.ru/70520982/" TargetMode="External"/><Relationship Id="rId124" Type="http://schemas.openxmlformats.org/officeDocument/2006/relationships/hyperlink" Target="http://base.garant.ru/71554422/" TargetMode="External"/><Relationship Id="rId129" Type="http://schemas.openxmlformats.org/officeDocument/2006/relationships/hyperlink" Target="http://base.garant.ru/70520982/" TargetMode="External"/><Relationship Id="rId54" Type="http://schemas.openxmlformats.org/officeDocument/2006/relationships/hyperlink" Target="http://base.garant.ru/12184522/" TargetMode="External"/><Relationship Id="rId70" Type="http://schemas.openxmlformats.org/officeDocument/2006/relationships/hyperlink" Target="http://base.garant.ru/71655546/" TargetMode="External"/><Relationship Id="rId75" Type="http://schemas.openxmlformats.org/officeDocument/2006/relationships/hyperlink" Target="http://base.garant.ru/70353464/3/" TargetMode="External"/><Relationship Id="rId91" Type="http://schemas.openxmlformats.org/officeDocument/2006/relationships/hyperlink" Target="http://base.garant.ru/71655546/" TargetMode="External"/><Relationship Id="rId96" Type="http://schemas.openxmlformats.org/officeDocument/2006/relationships/hyperlink" Target="http://base.garant.ru/71554422/" TargetMode="External"/><Relationship Id="rId140" Type="http://schemas.openxmlformats.org/officeDocument/2006/relationships/hyperlink" Target="http://base.garant.ru/70520982/" TargetMode="External"/><Relationship Id="rId145" Type="http://schemas.openxmlformats.org/officeDocument/2006/relationships/hyperlink" Target="http://base.garant.ru/70520982/" TargetMode="External"/><Relationship Id="rId161" Type="http://schemas.openxmlformats.org/officeDocument/2006/relationships/hyperlink" Target="http://base.garant.ru/57457657/" TargetMode="External"/><Relationship Id="rId166" Type="http://schemas.openxmlformats.org/officeDocument/2006/relationships/hyperlink" Target="http://base.garant.ru/71554422/" TargetMode="External"/><Relationship Id="rId182" Type="http://schemas.openxmlformats.org/officeDocument/2006/relationships/hyperlink" Target="http://base.garant.ru/12112604/" TargetMode="External"/><Relationship Id="rId187" Type="http://schemas.openxmlformats.org/officeDocument/2006/relationships/hyperlink" Target="http://base.garant.ru/71554422/" TargetMode="External"/><Relationship Id="rId217" Type="http://schemas.openxmlformats.org/officeDocument/2006/relationships/hyperlink" Target="http://base.garant.ru/705209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20982/" TargetMode="External"/><Relationship Id="rId212" Type="http://schemas.openxmlformats.org/officeDocument/2006/relationships/hyperlink" Target="http://base.garant.ru/71655546/" TargetMode="External"/><Relationship Id="rId23" Type="http://schemas.openxmlformats.org/officeDocument/2006/relationships/hyperlink" Target="http://base.garant.ru/70520982/" TargetMode="External"/><Relationship Id="rId28" Type="http://schemas.openxmlformats.org/officeDocument/2006/relationships/hyperlink" Target="http://base.garant.ru/57507121/" TargetMode="External"/><Relationship Id="rId49" Type="http://schemas.openxmlformats.org/officeDocument/2006/relationships/hyperlink" Target="http://base.garant.ru/71554422/" TargetMode="External"/><Relationship Id="rId114" Type="http://schemas.openxmlformats.org/officeDocument/2006/relationships/hyperlink" Target="http://base.garant.ru/70353464/5/" TargetMode="External"/><Relationship Id="rId119" Type="http://schemas.openxmlformats.org/officeDocument/2006/relationships/hyperlink" Target="http://base.garant.ru/71655546/" TargetMode="External"/><Relationship Id="rId44" Type="http://schemas.openxmlformats.org/officeDocument/2006/relationships/hyperlink" Target="http://base.garant.ru/70353464/3/" TargetMode="External"/><Relationship Id="rId60" Type="http://schemas.openxmlformats.org/officeDocument/2006/relationships/hyperlink" Target="http://base.garant.ru/71554422/" TargetMode="External"/><Relationship Id="rId65" Type="http://schemas.openxmlformats.org/officeDocument/2006/relationships/hyperlink" Target="http://base.garant.ru/70353464/3/" TargetMode="External"/><Relationship Id="rId81" Type="http://schemas.openxmlformats.org/officeDocument/2006/relationships/hyperlink" Target="http://base.garant.ru/71554422/" TargetMode="External"/><Relationship Id="rId86" Type="http://schemas.openxmlformats.org/officeDocument/2006/relationships/hyperlink" Target="http://base.garant.ru/70353464/1/" TargetMode="External"/><Relationship Id="rId130" Type="http://schemas.openxmlformats.org/officeDocument/2006/relationships/hyperlink" Target="http://base.garant.ru/70520982/" TargetMode="External"/><Relationship Id="rId135" Type="http://schemas.openxmlformats.org/officeDocument/2006/relationships/hyperlink" Target="http://base.garant.ru/70520982/" TargetMode="External"/><Relationship Id="rId151" Type="http://schemas.openxmlformats.org/officeDocument/2006/relationships/hyperlink" Target="http://base.garant.ru/71655546/" TargetMode="External"/><Relationship Id="rId156" Type="http://schemas.openxmlformats.org/officeDocument/2006/relationships/hyperlink" Target="http://base.garant.ru/57747972/" TargetMode="External"/><Relationship Id="rId177" Type="http://schemas.openxmlformats.org/officeDocument/2006/relationships/hyperlink" Target="http://base.garant.ru/71554422/" TargetMode="External"/><Relationship Id="rId198" Type="http://schemas.openxmlformats.org/officeDocument/2006/relationships/hyperlink" Target="http://base.garant.ru/70520982/" TargetMode="External"/><Relationship Id="rId172" Type="http://schemas.openxmlformats.org/officeDocument/2006/relationships/hyperlink" Target="http://base.garant.ru/70353464/3/" TargetMode="External"/><Relationship Id="rId193" Type="http://schemas.openxmlformats.org/officeDocument/2006/relationships/hyperlink" Target="http://base.garant.ru/71655546/" TargetMode="External"/><Relationship Id="rId202" Type="http://schemas.openxmlformats.org/officeDocument/2006/relationships/hyperlink" Target="http://base.garant.ru/10102673/" TargetMode="External"/><Relationship Id="rId207" Type="http://schemas.openxmlformats.org/officeDocument/2006/relationships/hyperlink" Target="http://base.garant.ru/70520982/" TargetMode="External"/><Relationship Id="rId223" Type="http://schemas.openxmlformats.org/officeDocument/2006/relationships/hyperlink" Target="http://base.garant.ru/57457657/" TargetMode="External"/><Relationship Id="rId228" Type="http://schemas.openxmlformats.org/officeDocument/2006/relationships/hyperlink" Target="http://base.garant.ru/71554422/" TargetMode="External"/><Relationship Id="rId13" Type="http://schemas.openxmlformats.org/officeDocument/2006/relationships/hyperlink" Target="http://base.garant.ru/70353465/" TargetMode="External"/><Relationship Id="rId18" Type="http://schemas.openxmlformats.org/officeDocument/2006/relationships/hyperlink" Target="http://base.garant.ru/57747972/" TargetMode="External"/><Relationship Id="rId39" Type="http://schemas.openxmlformats.org/officeDocument/2006/relationships/hyperlink" Target="http://base.garant.ru/70710078/" TargetMode="External"/><Relationship Id="rId109" Type="http://schemas.openxmlformats.org/officeDocument/2006/relationships/hyperlink" Target="http://base.garant.ru/70520982/" TargetMode="External"/><Relationship Id="rId34" Type="http://schemas.openxmlformats.org/officeDocument/2006/relationships/hyperlink" Target="http://base.garant.ru/57507121/" TargetMode="External"/><Relationship Id="rId50" Type="http://schemas.openxmlformats.org/officeDocument/2006/relationships/hyperlink" Target="http://base.garant.ru/71554422/" TargetMode="External"/><Relationship Id="rId55" Type="http://schemas.openxmlformats.org/officeDocument/2006/relationships/hyperlink" Target="http://base.garant.ru/70353464/3/" TargetMode="External"/><Relationship Id="rId76" Type="http://schemas.openxmlformats.org/officeDocument/2006/relationships/hyperlink" Target="http://base.garant.ru/70353464/3/" TargetMode="External"/><Relationship Id="rId97" Type="http://schemas.openxmlformats.org/officeDocument/2006/relationships/hyperlink" Target="http://base.garant.ru/70520982/" TargetMode="External"/><Relationship Id="rId104" Type="http://schemas.openxmlformats.org/officeDocument/2006/relationships/hyperlink" Target="http://base.garant.ru/70520982/" TargetMode="External"/><Relationship Id="rId120" Type="http://schemas.openxmlformats.org/officeDocument/2006/relationships/hyperlink" Target="http://base.garant.ru/71554422/" TargetMode="External"/><Relationship Id="rId125" Type="http://schemas.openxmlformats.org/officeDocument/2006/relationships/hyperlink" Target="http://base.garant.ru/70520982/" TargetMode="External"/><Relationship Id="rId141" Type="http://schemas.openxmlformats.org/officeDocument/2006/relationships/hyperlink" Target="http://base.garant.ru/70520982/" TargetMode="External"/><Relationship Id="rId146" Type="http://schemas.openxmlformats.org/officeDocument/2006/relationships/hyperlink" Target="http://base.garant.ru/71077768/" TargetMode="External"/><Relationship Id="rId167" Type="http://schemas.openxmlformats.org/officeDocument/2006/relationships/hyperlink" Target="http://base.garant.ru/71554422/" TargetMode="External"/><Relationship Id="rId188" Type="http://schemas.openxmlformats.org/officeDocument/2006/relationships/hyperlink" Target="http://base.garant.ru/71554422/" TargetMode="External"/><Relationship Id="rId7" Type="http://schemas.openxmlformats.org/officeDocument/2006/relationships/hyperlink" Target="http://base.garant.ru/70520982/" TargetMode="External"/><Relationship Id="rId71" Type="http://schemas.openxmlformats.org/officeDocument/2006/relationships/hyperlink" Target="http://base.garant.ru/71655546/" TargetMode="External"/><Relationship Id="rId92" Type="http://schemas.openxmlformats.org/officeDocument/2006/relationships/hyperlink" Target="http://base.garant.ru/71655546/" TargetMode="External"/><Relationship Id="rId162" Type="http://schemas.openxmlformats.org/officeDocument/2006/relationships/hyperlink" Target="http://base.garant.ru/70353464/3/" TargetMode="External"/><Relationship Id="rId183" Type="http://schemas.openxmlformats.org/officeDocument/2006/relationships/hyperlink" Target="http://base.garant.ru/71554422/" TargetMode="External"/><Relationship Id="rId213" Type="http://schemas.openxmlformats.org/officeDocument/2006/relationships/hyperlink" Target="http://base.garant.ru/71655546/" TargetMode="External"/><Relationship Id="rId218" Type="http://schemas.openxmlformats.org/officeDocument/2006/relationships/hyperlink" Target="http://base.garant.ru/7052098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20982/" TargetMode="External"/><Relationship Id="rId24" Type="http://schemas.openxmlformats.org/officeDocument/2006/relationships/hyperlink" Target="http://base.garant.ru/12154984/" TargetMode="External"/><Relationship Id="rId40" Type="http://schemas.openxmlformats.org/officeDocument/2006/relationships/hyperlink" Target="http://base.garant.ru/57747972/" TargetMode="External"/><Relationship Id="rId45" Type="http://schemas.openxmlformats.org/officeDocument/2006/relationships/hyperlink" Target="http://base.garant.ru/71554422/" TargetMode="External"/><Relationship Id="rId66" Type="http://schemas.openxmlformats.org/officeDocument/2006/relationships/hyperlink" Target="http://base.garant.ru/70353464/3/" TargetMode="External"/><Relationship Id="rId87" Type="http://schemas.openxmlformats.org/officeDocument/2006/relationships/hyperlink" Target="http://base.garant.ru/12112604/" TargetMode="External"/><Relationship Id="rId110" Type="http://schemas.openxmlformats.org/officeDocument/2006/relationships/hyperlink" Target="http://base.garant.ru/70520982/" TargetMode="External"/><Relationship Id="rId115" Type="http://schemas.openxmlformats.org/officeDocument/2006/relationships/hyperlink" Target="http://base.garant.ru/70520982/" TargetMode="External"/><Relationship Id="rId131" Type="http://schemas.openxmlformats.org/officeDocument/2006/relationships/hyperlink" Target="http://base.garant.ru/70520982/" TargetMode="External"/><Relationship Id="rId136" Type="http://schemas.openxmlformats.org/officeDocument/2006/relationships/hyperlink" Target="http://base.garant.ru/70520982/" TargetMode="External"/><Relationship Id="rId157" Type="http://schemas.openxmlformats.org/officeDocument/2006/relationships/hyperlink" Target="http://base.garant.ru/70710078/" TargetMode="External"/><Relationship Id="rId178" Type="http://schemas.openxmlformats.org/officeDocument/2006/relationships/hyperlink" Target="http://base.garant.ru/57457657/" TargetMode="External"/><Relationship Id="rId61" Type="http://schemas.openxmlformats.org/officeDocument/2006/relationships/hyperlink" Target="http://base.garant.ru/57457670/" TargetMode="External"/><Relationship Id="rId82" Type="http://schemas.openxmlformats.org/officeDocument/2006/relationships/hyperlink" Target="http://base.garant.ru/71554422/" TargetMode="External"/><Relationship Id="rId152" Type="http://schemas.openxmlformats.org/officeDocument/2006/relationships/hyperlink" Target="http://base.garant.ru/71554422/" TargetMode="External"/><Relationship Id="rId173" Type="http://schemas.openxmlformats.org/officeDocument/2006/relationships/hyperlink" Target="http://base.garant.ru/70353464/3/" TargetMode="External"/><Relationship Id="rId194" Type="http://schemas.openxmlformats.org/officeDocument/2006/relationships/hyperlink" Target="http://base.garant.ru/71655546/" TargetMode="External"/><Relationship Id="rId199" Type="http://schemas.openxmlformats.org/officeDocument/2006/relationships/hyperlink" Target="http://base.garant.ru/71554422/" TargetMode="External"/><Relationship Id="rId203" Type="http://schemas.openxmlformats.org/officeDocument/2006/relationships/hyperlink" Target="http://base.garant.ru/70520982/" TargetMode="External"/><Relationship Id="rId208" Type="http://schemas.openxmlformats.org/officeDocument/2006/relationships/hyperlink" Target="http://base.garant.ru/70520982/" TargetMode="External"/><Relationship Id="rId229" Type="http://schemas.openxmlformats.org/officeDocument/2006/relationships/hyperlink" Target="http://base.garant.ru/57457657/" TargetMode="External"/><Relationship Id="rId19" Type="http://schemas.openxmlformats.org/officeDocument/2006/relationships/hyperlink" Target="http://base.garant.ru/70554922/" TargetMode="External"/><Relationship Id="rId224" Type="http://schemas.openxmlformats.org/officeDocument/2006/relationships/hyperlink" Target="http://base.garant.ru/10102673/" TargetMode="External"/><Relationship Id="rId14" Type="http://schemas.openxmlformats.org/officeDocument/2006/relationships/hyperlink" Target="http://base.garant.ru/10102673/" TargetMode="External"/><Relationship Id="rId30" Type="http://schemas.openxmlformats.org/officeDocument/2006/relationships/hyperlink" Target="http://base.garant.ru/70520982/" TargetMode="External"/><Relationship Id="rId35" Type="http://schemas.openxmlformats.org/officeDocument/2006/relationships/hyperlink" Target="http://base.garant.ru/70520982/" TargetMode="External"/><Relationship Id="rId56" Type="http://schemas.openxmlformats.org/officeDocument/2006/relationships/hyperlink" Target="http://base.garant.ru/71655546/" TargetMode="External"/><Relationship Id="rId77" Type="http://schemas.openxmlformats.org/officeDocument/2006/relationships/hyperlink" Target="http://base.garant.ru/70353464/3/" TargetMode="External"/><Relationship Id="rId100" Type="http://schemas.openxmlformats.org/officeDocument/2006/relationships/hyperlink" Target="http://base.garant.ru/70520982/" TargetMode="External"/><Relationship Id="rId105" Type="http://schemas.openxmlformats.org/officeDocument/2006/relationships/hyperlink" Target="http://base.garant.ru/70520982/" TargetMode="External"/><Relationship Id="rId126" Type="http://schemas.openxmlformats.org/officeDocument/2006/relationships/hyperlink" Target="http://base.garant.ru/71554422/" TargetMode="External"/><Relationship Id="rId147" Type="http://schemas.openxmlformats.org/officeDocument/2006/relationships/hyperlink" Target="http://base.garant.ru/57507121/" TargetMode="External"/><Relationship Id="rId168" Type="http://schemas.openxmlformats.org/officeDocument/2006/relationships/hyperlink" Target="http://base.garant.ru/57457657/" TargetMode="External"/><Relationship Id="rId8" Type="http://schemas.openxmlformats.org/officeDocument/2006/relationships/hyperlink" Target="http://base.garant.ru/70353464/5/" TargetMode="External"/><Relationship Id="rId51" Type="http://schemas.openxmlformats.org/officeDocument/2006/relationships/hyperlink" Target="http://base.garant.ru/71554422/" TargetMode="External"/><Relationship Id="rId72" Type="http://schemas.openxmlformats.org/officeDocument/2006/relationships/hyperlink" Target="http://base.garant.ru/57424506/" TargetMode="External"/><Relationship Id="rId93" Type="http://schemas.openxmlformats.org/officeDocument/2006/relationships/hyperlink" Target="http://base.garant.ru/57424506/" TargetMode="External"/><Relationship Id="rId98" Type="http://schemas.openxmlformats.org/officeDocument/2006/relationships/hyperlink" Target="http://base.garant.ru/70520982/" TargetMode="External"/><Relationship Id="rId121" Type="http://schemas.openxmlformats.org/officeDocument/2006/relationships/hyperlink" Target="http://base.garant.ru/71554422/" TargetMode="External"/><Relationship Id="rId142" Type="http://schemas.openxmlformats.org/officeDocument/2006/relationships/hyperlink" Target="http://base.garant.ru/70520982/" TargetMode="External"/><Relationship Id="rId163" Type="http://schemas.openxmlformats.org/officeDocument/2006/relationships/hyperlink" Target="http://base.garant.ru/70710078/" TargetMode="External"/><Relationship Id="rId184" Type="http://schemas.openxmlformats.org/officeDocument/2006/relationships/hyperlink" Target="http://base.garant.ru/71554422/" TargetMode="External"/><Relationship Id="rId189" Type="http://schemas.openxmlformats.org/officeDocument/2006/relationships/hyperlink" Target="http://base.garant.ru/57457657/" TargetMode="External"/><Relationship Id="rId219" Type="http://schemas.openxmlformats.org/officeDocument/2006/relationships/hyperlink" Target="http://base.garant.ru/7052098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1554422/" TargetMode="External"/><Relationship Id="rId230" Type="http://schemas.openxmlformats.org/officeDocument/2006/relationships/hyperlink" Target="http://base.garant.ru/10102673/" TargetMode="External"/><Relationship Id="rId25" Type="http://schemas.openxmlformats.org/officeDocument/2006/relationships/hyperlink" Target="http://base.garant.ru/12181918/" TargetMode="External"/><Relationship Id="rId46" Type="http://schemas.openxmlformats.org/officeDocument/2006/relationships/hyperlink" Target="http://base.garant.ru/71554422/" TargetMode="External"/><Relationship Id="rId67" Type="http://schemas.openxmlformats.org/officeDocument/2006/relationships/hyperlink" Target="http://base.garant.ru/12148567/2/" TargetMode="External"/><Relationship Id="rId116" Type="http://schemas.openxmlformats.org/officeDocument/2006/relationships/hyperlink" Target="http://base.garant.ru/70520982/" TargetMode="External"/><Relationship Id="rId137" Type="http://schemas.openxmlformats.org/officeDocument/2006/relationships/hyperlink" Target="http://base.garant.ru/70520982/" TargetMode="External"/><Relationship Id="rId158" Type="http://schemas.openxmlformats.org/officeDocument/2006/relationships/hyperlink" Target="http://base.garant.ru/57747972/" TargetMode="External"/><Relationship Id="rId20" Type="http://schemas.openxmlformats.org/officeDocument/2006/relationships/hyperlink" Target="http://base.garant.ru/70520982/" TargetMode="External"/><Relationship Id="rId41" Type="http://schemas.openxmlformats.org/officeDocument/2006/relationships/hyperlink" Target="http://base.garant.ru/71655546/" TargetMode="External"/><Relationship Id="rId62" Type="http://schemas.openxmlformats.org/officeDocument/2006/relationships/hyperlink" Target="http://base.garant.ru/70520982/" TargetMode="External"/><Relationship Id="rId83" Type="http://schemas.openxmlformats.org/officeDocument/2006/relationships/hyperlink" Target="http://base.garant.ru/57457657/" TargetMode="External"/><Relationship Id="rId88" Type="http://schemas.openxmlformats.org/officeDocument/2006/relationships/hyperlink" Target="http://base.garant.ru/70353464/1/" TargetMode="External"/><Relationship Id="rId111" Type="http://schemas.openxmlformats.org/officeDocument/2006/relationships/hyperlink" Target="http://base.garant.ru/71554422/" TargetMode="External"/><Relationship Id="rId132" Type="http://schemas.openxmlformats.org/officeDocument/2006/relationships/hyperlink" Target="http://base.garant.ru/70520982/" TargetMode="External"/><Relationship Id="rId153" Type="http://schemas.openxmlformats.org/officeDocument/2006/relationships/hyperlink" Target="http://base.garant.ru/71554422/" TargetMode="External"/><Relationship Id="rId174" Type="http://schemas.openxmlformats.org/officeDocument/2006/relationships/hyperlink" Target="http://base.garant.ru/12137300/4/" TargetMode="External"/><Relationship Id="rId179" Type="http://schemas.openxmlformats.org/officeDocument/2006/relationships/hyperlink" Target="http://base.garant.ru/70353464/1/" TargetMode="External"/><Relationship Id="rId195" Type="http://schemas.openxmlformats.org/officeDocument/2006/relationships/hyperlink" Target="http://base.garant.ru/71554422/" TargetMode="External"/><Relationship Id="rId209" Type="http://schemas.openxmlformats.org/officeDocument/2006/relationships/hyperlink" Target="http://base.garant.ru/70520982/" TargetMode="External"/><Relationship Id="rId190" Type="http://schemas.openxmlformats.org/officeDocument/2006/relationships/hyperlink" Target="http://base.garant.ru/71655546/" TargetMode="External"/><Relationship Id="rId204" Type="http://schemas.openxmlformats.org/officeDocument/2006/relationships/hyperlink" Target="http://base.garant.ru/70520982/" TargetMode="External"/><Relationship Id="rId220" Type="http://schemas.openxmlformats.org/officeDocument/2006/relationships/hyperlink" Target="http://base.garant.ru/70520982/" TargetMode="External"/><Relationship Id="rId225" Type="http://schemas.openxmlformats.org/officeDocument/2006/relationships/hyperlink" Target="http://base.garant.ru/71655546/" TargetMode="External"/><Relationship Id="rId15" Type="http://schemas.openxmlformats.org/officeDocument/2006/relationships/hyperlink" Target="http://base.garant.ru/71291332/" TargetMode="External"/><Relationship Id="rId36" Type="http://schemas.openxmlformats.org/officeDocument/2006/relationships/hyperlink" Target="http://base.garant.ru/70353464/5/" TargetMode="External"/><Relationship Id="rId57" Type="http://schemas.openxmlformats.org/officeDocument/2006/relationships/hyperlink" Target="http://base.garant.ru/71655546/" TargetMode="External"/><Relationship Id="rId106" Type="http://schemas.openxmlformats.org/officeDocument/2006/relationships/hyperlink" Target="http://base.garant.ru/70520982/" TargetMode="External"/><Relationship Id="rId127" Type="http://schemas.openxmlformats.org/officeDocument/2006/relationships/hyperlink" Target="http://base.garant.ru/70520982/" TargetMode="External"/><Relationship Id="rId10" Type="http://schemas.openxmlformats.org/officeDocument/2006/relationships/hyperlink" Target="http://base.garant.ru/70520982/" TargetMode="External"/><Relationship Id="rId31" Type="http://schemas.openxmlformats.org/officeDocument/2006/relationships/hyperlink" Target="http://base.garant.ru/70520982/" TargetMode="External"/><Relationship Id="rId52" Type="http://schemas.openxmlformats.org/officeDocument/2006/relationships/hyperlink" Target="http://base.garant.ru/71554422/" TargetMode="External"/><Relationship Id="rId73" Type="http://schemas.openxmlformats.org/officeDocument/2006/relationships/hyperlink" Target="http://base.garant.ru/70353464/3/" TargetMode="External"/><Relationship Id="rId78" Type="http://schemas.openxmlformats.org/officeDocument/2006/relationships/hyperlink" Target="http://base.garant.ru/70353464/3/" TargetMode="External"/><Relationship Id="rId94" Type="http://schemas.openxmlformats.org/officeDocument/2006/relationships/hyperlink" Target="http://base.garant.ru/71554422/" TargetMode="External"/><Relationship Id="rId99" Type="http://schemas.openxmlformats.org/officeDocument/2006/relationships/hyperlink" Target="http://base.garant.ru/70520982/" TargetMode="External"/><Relationship Id="rId101" Type="http://schemas.openxmlformats.org/officeDocument/2006/relationships/hyperlink" Target="http://base.garant.ru/70520982/" TargetMode="External"/><Relationship Id="rId122" Type="http://schemas.openxmlformats.org/officeDocument/2006/relationships/hyperlink" Target="http://base.garant.ru/57457657/" TargetMode="External"/><Relationship Id="rId143" Type="http://schemas.openxmlformats.org/officeDocument/2006/relationships/hyperlink" Target="http://base.garant.ru/70520982/" TargetMode="External"/><Relationship Id="rId148" Type="http://schemas.openxmlformats.org/officeDocument/2006/relationships/hyperlink" Target="http://base.garant.ru/12184522/" TargetMode="External"/><Relationship Id="rId164" Type="http://schemas.openxmlformats.org/officeDocument/2006/relationships/hyperlink" Target="http://base.garant.ru/57747972/" TargetMode="External"/><Relationship Id="rId169" Type="http://schemas.openxmlformats.org/officeDocument/2006/relationships/hyperlink" Target="http://base.garant.ru/70353464/3/" TargetMode="External"/><Relationship Id="rId185" Type="http://schemas.openxmlformats.org/officeDocument/2006/relationships/hyperlink" Target="http://base.garant.ru/574576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53464/5/" TargetMode="External"/><Relationship Id="rId180" Type="http://schemas.openxmlformats.org/officeDocument/2006/relationships/hyperlink" Target="http://base.garant.ru/70353464/1/" TargetMode="External"/><Relationship Id="rId210" Type="http://schemas.openxmlformats.org/officeDocument/2006/relationships/hyperlink" Target="http://base.garant.ru/70520982/" TargetMode="External"/><Relationship Id="rId215" Type="http://schemas.openxmlformats.org/officeDocument/2006/relationships/hyperlink" Target="http://base.garant.ru/71554422/" TargetMode="External"/><Relationship Id="rId26" Type="http://schemas.openxmlformats.org/officeDocument/2006/relationships/hyperlink" Target="http://base.garant.ru/12191572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base.garant.ru/70710078/" TargetMode="External"/><Relationship Id="rId68" Type="http://schemas.openxmlformats.org/officeDocument/2006/relationships/hyperlink" Target="http://base.garant.ru/71655546/" TargetMode="External"/><Relationship Id="rId89" Type="http://schemas.openxmlformats.org/officeDocument/2006/relationships/hyperlink" Target="http://base.garant.ru/70878644/" TargetMode="External"/><Relationship Id="rId112" Type="http://schemas.openxmlformats.org/officeDocument/2006/relationships/hyperlink" Target="http://base.garant.ru/71554422/" TargetMode="External"/><Relationship Id="rId133" Type="http://schemas.openxmlformats.org/officeDocument/2006/relationships/hyperlink" Target="http://base.garant.ru/70520982/" TargetMode="External"/><Relationship Id="rId154" Type="http://schemas.openxmlformats.org/officeDocument/2006/relationships/hyperlink" Target="http://base.garant.ru/57457657/" TargetMode="External"/><Relationship Id="rId175" Type="http://schemas.openxmlformats.org/officeDocument/2006/relationships/hyperlink" Target="http://base.garant.ru/10102673/" TargetMode="External"/><Relationship Id="rId196" Type="http://schemas.openxmlformats.org/officeDocument/2006/relationships/hyperlink" Target="http://base.garant.ru/71554422/" TargetMode="External"/><Relationship Id="rId200" Type="http://schemas.openxmlformats.org/officeDocument/2006/relationships/hyperlink" Target="http://base.garant.ru/71554422/" TargetMode="External"/><Relationship Id="rId16" Type="http://schemas.openxmlformats.org/officeDocument/2006/relationships/hyperlink" Target="http://base.garant.ru/12184522/" TargetMode="External"/><Relationship Id="rId221" Type="http://schemas.openxmlformats.org/officeDocument/2006/relationships/hyperlink" Target="http://base.garant.ru/71554422/" TargetMode="External"/><Relationship Id="rId37" Type="http://schemas.openxmlformats.org/officeDocument/2006/relationships/hyperlink" Target="http://base.garant.ru/70710078/" TargetMode="External"/><Relationship Id="rId58" Type="http://schemas.openxmlformats.org/officeDocument/2006/relationships/hyperlink" Target="http://base.garant.ru/70353464/3/" TargetMode="External"/><Relationship Id="rId79" Type="http://schemas.openxmlformats.org/officeDocument/2006/relationships/hyperlink" Target="http://base.garant.ru/70353464/3/" TargetMode="External"/><Relationship Id="rId102" Type="http://schemas.openxmlformats.org/officeDocument/2006/relationships/hyperlink" Target="http://base.garant.ru/70520982/" TargetMode="External"/><Relationship Id="rId123" Type="http://schemas.openxmlformats.org/officeDocument/2006/relationships/hyperlink" Target="http://base.garant.ru/71554422/" TargetMode="External"/><Relationship Id="rId144" Type="http://schemas.openxmlformats.org/officeDocument/2006/relationships/hyperlink" Target="http://base.garant.ru/70520982/" TargetMode="External"/><Relationship Id="rId90" Type="http://schemas.openxmlformats.org/officeDocument/2006/relationships/hyperlink" Target="http://base.garant.ru/12184522/" TargetMode="External"/><Relationship Id="rId165" Type="http://schemas.openxmlformats.org/officeDocument/2006/relationships/hyperlink" Target="http://base.garant.ru/70520982/" TargetMode="External"/><Relationship Id="rId186" Type="http://schemas.openxmlformats.org/officeDocument/2006/relationships/hyperlink" Target="http://base.garant.ru/70353464/1/" TargetMode="External"/><Relationship Id="rId211" Type="http://schemas.openxmlformats.org/officeDocument/2006/relationships/hyperlink" Target="http://base.garant.ru/70520982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8304</Words>
  <Characters>47334</Characters>
  <Application>Microsoft Office Word</Application>
  <DocSecurity>0</DocSecurity>
  <Lines>394</Lines>
  <Paragraphs>111</Paragraphs>
  <ScaleCrop>false</ScaleCrop>
  <Company/>
  <LinksUpToDate>false</LinksUpToDate>
  <CharactersWithSpaces>55527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egarminayuan</dc:creator>
  <cp:lastModifiedBy>egarminayuan</cp:lastModifiedBy>
  <cp:revision>1</cp:revision>
  <dcterms:created xsi:type="dcterms:W3CDTF">2017-11-29T08:59:00Z</dcterms:created>
  <dcterms:modified xsi:type="dcterms:W3CDTF">2017-11-29T09:00:00Z</dcterms:modified>
</cp:coreProperties>
</file>